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5E9EC8A8" w:rsidR="00194092" w:rsidRPr="00280956" w:rsidRDefault="00493786" w:rsidP="00194092">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3GPP TSG RAN WG1 Meeting #</w:t>
      </w:r>
      <w:r>
        <w:rPr>
          <w:rFonts w:ascii="Arial" w:hAnsi="Arial" w:cs="Arial"/>
          <w:b/>
          <w:bCs/>
          <w:sz w:val="28"/>
        </w:rPr>
        <w:t>8</w:t>
      </w:r>
      <w:r w:rsidR="00192022">
        <w:rPr>
          <w:rFonts w:ascii="Arial" w:eastAsiaTheme="minorEastAsia" w:hAnsi="Arial" w:cs="Arial" w:hint="eastAsia"/>
          <w:b/>
          <w:bCs/>
          <w:sz w:val="28"/>
          <w:lang w:eastAsia="ko-KR"/>
        </w:rPr>
        <w:t>9</w:t>
      </w:r>
      <w:r w:rsidR="00192022">
        <w:rPr>
          <w:rFonts w:ascii="Arial" w:eastAsiaTheme="minorEastAsia" w:hAnsi="Arial" w:cs="Arial" w:hint="eastAsia"/>
          <w:b/>
          <w:bCs/>
          <w:sz w:val="28"/>
          <w:lang w:eastAsia="ko-KR"/>
        </w:rPr>
        <w:tab/>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r w:rsidR="007E69E3" w:rsidRPr="007E69E3">
        <w:rPr>
          <w:rFonts w:ascii="Arial" w:hAnsi="Arial" w:cs="Arial"/>
          <w:b/>
          <w:bCs/>
          <w:sz w:val="28"/>
        </w:rPr>
        <w:t>R1-1707683</w:t>
      </w:r>
    </w:p>
    <w:p w14:paraId="7C374FBB" w14:textId="125D3CB1" w:rsidR="00194092" w:rsidRDefault="00192022" w:rsidP="00194092">
      <w:pPr>
        <w:tabs>
          <w:tab w:val="left" w:pos="1985"/>
        </w:tabs>
        <w:spacing w:after="0"/>
        <w:ind w:left="0" w:firstLine="0"/>
        <w:rPr>
          <w:rFonts w:ascii="Arial" w:eastAsia="맑은 고딕" w:hAnsi="Arial" w:cs="Arial"/>
          <w:b/>
          <w:bCs/>
          <w:sz w:val="28"/>
          <w:lang w:eastAsia="ko-KR"/>
        </w:rPr>
      </w:pPr>
      <w:r w:rsidRPr="00620748">
        <w:rPr>
          <w:rFonts w:ascii="Arial" w:hAnsi="Arial" w:cs="Arial"/>
          <w:b/>
          <w:bCs/>
          <w:sz w:val="28"/>
          <w:lang w:eastAsia="ja-JP"/>
        </w:rPr>
        <w:t>Hangzhou</w:t>
      </w:r>
      <w:r>
        <w:rPr>
          <w:rFonts w:ascii="Arial" w:hAnsi="Arial" w:cs="Arial"/>
          <w:b/>
          <w:bCs/>
          <w:sz w:val="28"/>
        </w:rPr>
        <w:t xml:space="preserve">, </w:t>
      </w:r>
      <w:r>
        <w:rPr>
          <w:rFonts w:ascii="Arial" w:hAnsi="Arial" w:cs="Arial" w:hint="eastAsia"/>
          <w:b/>
          <w:bCs/>
          <w:sz w:val="28"/>
          <w:lang w:eastAsia="ja-JP"/>
        </w:rPr>
        <w:t>P.R. China</w:t>
      </w:r>
      <w:r>
        <w:rPr>
          <w:rFonts w:ascii="Arial" w:hAnsi="Arial" w:cs="Arial"/>
          <w:b/>
          <w:bCs/>
          <w:sz w:val="28"/>
        </w:rPr>
        <w:t xml:space="preserve"> </w:t>
      </w:r>
      <w:r>
        <w:rPr>
          <w:rFonts w:ascii="Arial" w:hAnsi="Arial" w:cs="Arial" w:hint="eastAsia"/>
          <w:b/>
          <w:bCs/>
          <w:sz w:val="28"/>
          <w:lang w:eastAsia="ja-JP"/>
        </w:rPr>
        <w:t>15th</w:t>
      </w:r>
      <w:r w:rsidRPr="004C7EB6">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hAnsi="Arial" w:cs="Arial" w:hint="eastAsia"/>
          <w:b/>
          <w:bCs/>
          <w:sz w:val="28"/>
          <w:lang w:eastAsia="ja-JP"/>
        </w:rPr>
        <w:t>19th</w:t>
      </w:r>
      <w:r w:rsidRPr="0052548E">
        <w:rPr>
          <w:rFonts w:ascii="Arial" w:hAnsi="Arial" w:cs="Arial"/>
          <w:b/>
          <w:bCs/>
          <w:sz w:val="28"/>
        </w:rPr>
        <w:t xml:space="preserve"> </w:t>
      </w:r>
      <w:r>
        <w:rPr>
          <w:rFonts w:ascii="Arial" w:hAnsi="Arial" w:cs="Arial" w:hint="eastAsia"/>
          <w:b/>
          <w:bCs/>
          <w:sz w:val="28"/>
          <w:lang w:eastAsia="ja-JP"/>
        </w:rPr>
        <w:t>May</w:t>
      </w:r>
      <w:r>
        <w:rPr>
          <w:rFonts w:ascii="Arial" w:hAnsi="Arial" w:cs="Arial"/>
          <w:b/>
          <w:bCs/>
          <w:sz w:val="28"/>
        </w:rPr>
        <w:t xml:space="preserve"> 201</w:t>
      </w:r>
      <w:r w:rsidRPr="009513AC">
        <w:rPr>
          <w:rFonts w:ascii="Arial" w:hAnsi="Arial" w:cs="Arial" w:hint="eastAsia"/>
          <w:b/>
          <w:bCs/>
          <w:sz w:val="28"/>
          <w:lang w:eastAsia="ja-JP"/>
        </w:rPr>
        <w:t>7</w:t>
      </w:r>
    </w:p>
    <w:p w14:paraId="6E4462CD" w14:textId="37BAE222"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92022">
        <w:rPr>
          <w:rFonts w:ascii="Arial" w:eastAsia="맑은 고딕" w:hAnsi="Arial" w:hint="eastAsia"/>
          <w:sz w:val="24"/>
          <w:lang w:val="en-US" w:eastAsia="ko-KR"/>
        </w:rPr>
        <w:t>7</w:t>
      </w:r>
      <w:r w:rsidR="00F3553F">
        <w:rPr>
          <w:rFonts w:ascii="Arial" w:eastAsia="맑은 고딕" w:hAnsi="Arial"/>
          <w:sz w:val="24"/>
          <w:lang w:val="en-US" w:eastAsia="ko-KR"/>
        </w:rPr>
        <w:t>.1.</w:t>
      </w:r>
      <w:r w:rsidR="00E640F8">
        <w:rPr>
          <w:rFonts w:ascii="Arial" w:eastAsia="맑은 고딕" w:hAnsi="Arial"/>
          <w:sz w:val="24"/>
          <w:lang w:val="en-US" w:eastAsia="ko-KR"/>
        </w:rPr>
        <w:t>9</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38FEBCF"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92022">
        <w:rPr>
          <w:rFonts w:ascii="Arial" w:eastAsiaTheme="minorEastAsia" w:hAnsi="Arial" w:hint="eastAsia"/>
          <w:sz w:val="24"/>
          <w:lang w:eastAsia="ko-KR"/>
        </w:rPr>
        <w:t xml:space="preserve">Discussion on </w:t>
      </w:r>
      <w:r w:rsidR="00E640F8">
        <w:rPr>
          <w:rFonts w:ascii="Arial" w:eastAsiaTheme="minorEastAsia" w:hAnsi="Arial"/>
          <w:sz w:val="24"/>
          <w:lang w:eastAsia="ko-KR"/>
        </w:rPr>
        <w:t>power sharing for LTE-NR DC</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0865DAF3" w14:textId="37AE35E2" w:rsidR="00873B15" w:rsidRPr="00852700" w:rsidRDefault="00BD6357" w:rsidP="005C3011">
      <w:pPr>
        <w:ind w:left="258" w:hangingChars="129" w:hanging="258"/>
        <w:rPr>
          <w:rFonts w:eastAsiaTheme="minorEastAsia"/>
          <w:b/>
          <w:i/>
          <w:szCs w:val="22"/>
          <w:lang w:eastAsia="ko-KR"/>
        </w:rPr>
      </w:pPr>
      <w:r w:rsidRPr="00852700">
        <w:rPr>
          <w:szCs w:val="22"/>
          <w:lang w:eastAsia="ko-KR"/>
        </w:rPr>
        <w:t xml:space="preserve">In this contribution, </w:t>
      </w:r>
      <w:r w:rsidR="005C3011" w:rsidRPr="00852700">
        <w:rPr>
          <w:szCs w:val="22"/>
          <w:lang w:eastAsia="ko-KR"/>
        </w:rPr>
        <w:t xml:space="preserve">we </w:t>
      </w:r>
      <w:r w:rsidR="00E640F8" w:rsidRPr="00852700">
        <w:rPr>
          <w:szCs w:val="22"/>
          <w:lang w:eastAsia="ko-KR"/>
        </w:rPr>
        <w:t>discuss on power sharing in LTE-NR dual connectivity scenarios.</w:t>
      </w:r>
      <w:r w:rsidR="005C3011" w:rsidRPr="00852700">
        <w:rPr>
          <w:szCs w:val="22"/>
          <w:lang w:eastAsia="ko-KR"/>
        </w:rPr>
        <w:t xml:space="preserve"> </w:t>
      </w:r>
    </w:p>
    <w:p w14:paraId="357BE0A3" w14:textId="3CE16121" w:rsidR="00040958" w:rsidRDefault="00E640F8" w:rsidP="00560857">
      <w:pPr>
        <w:pStyle w:val="1"/>
        <w:numPr>
          <w:ilvl w:val="0"/>
          <w:numId w:val="2"/>
        </w:numPr>
        <w:spacing w:after="0"/>
        <w:rPr>
          <w:rFonts w:eastAsiaTheme="minorEastAsia" w:cs="Arial"/>
          <w:b/>
          <w:szCs w:val="28"/>
          <w:lang w:eastAsia="ko-KR"/>
        </w:rPr>
      </w:pPr>
      <w:r>
        <w:rPr>
          <w:rFonts w:eastAsiaTheme="minorEastAsia" w:cs="Arial"/>
          <w:b/>
          <w:szCs w:val="28"/>
          <w:lang w:eastAsia="ko-KR"/>
        </w:rPr>
        <w:t>Discussion on power control in LTE-NR DC</w:t>
      </w:r>
    </w:p>
    <w:p w14:paraId="2D5803F5" w14:textId="504C20FB" w:rsidR="00E640F8" w:rsidRPr="002F110E" w:rsidRDefault="002F110E" w:rsidP="00E640F8">
      <w:pPr>
        <w:ind w:left="0" w:firstLine="0"/>
        <w:rPr>
          <w:rFonts w:eastAsiaTheme="minorEastAsia"/>
          <w:lang w:eastAsia="ko-KR"/>
        </w:rPr>
      </w:pPr>
      <w:r w:rsidRPr="002F110E">
        <w:rPr>
          <w:rFonts w:eastAsiaTheme="minorEastAsia"/>
          <w:lang w:eastAsia="ko-KR"/>
        </w:rPr>
        <w:t>For power control between LTE and NR carriers, we can consider the following approaches.</w:t>
      </w:r>
    </w:p>
    <w:p w14:paraId="0C0C5601" w14:textId="41AF03CA" w:rsidR="002F110E" w:rsidRPr="002F110E" w:rsidRDefault="002F110E" w:rsidP="002F110E">
      <w:pPr>
        <w:pStyle w:val="ad"/>
        <w:numPr>
          <w:ilvl w:val="0"/>
          <w:numId w:val="47"/>
        </w:numPr>
        <w:ind w:leftChars="0"/>
        <w:rPr>
          <w:rFonts w:ascii="Times New Roman" w:hAnsi="Times New Roman" w:cs="Times New Roman"/>
          <w:b/>
          <w:kern w:val="28"/>
          <w:lang w:val="en-GB"/>
        </w:rPr>
      </w:pPr>
      <w:r w:rsidRPr="002F110E">
        <w:rPr>
          <w:rFonts w:ascii="Times New Roman" w:eastAsiaTheme="minorEastAsia" w:hAnsi="Times New Roman" w:cs="Times New Roman"/>
        </w:rPr>
        <w:t xml:space="preserve">Semi-static power split without any </w:t>
      </w:r>
      <w:r>
        <w:rPr>
          <w:rFonts w:ascii="Times New Roman" w:eastAsiaTheme="minorEastAsia" w:hAnsi="Times New Roman" w:cs="Times New Roman"/>
        </w:rPr>
        <w:t xml:space="preserve">dynamic </w:t>
      </w:r>
      <w:r w:rsidRPr="002F110E">
        <w:rPr>
          <w:rFonts w:ascii="Times New Roman" w:eastAsiaTheme="minorEastAsia" w:hAnsi="Times New Roman" w:cs="Times New Roman"/>
        </w:rPr>
        <w:t xml:space="preserve">power sharing: </w:t>
      </w:r>
      <w:r>
        <w:rPr>
          <w:rFonts w:ascii="Times New Roman" w:eastAsiaTheme="minorEastAsia" w:hAnsi="Times New Roman" w:cs="Times New Roman"/>
        </w:rPr>
        <w:t>the first approach is to split power between LTE and NR carrier group where dynamic sharing is not assumed regardless of power usage at each CG. For example, UE maximum power can be split to MCG and SCG as P % and 1-P % respectively. If this approach is used, power limited case can be determined within each carrier group assuming the maximum power is P * UE-max-power at MCG. The drawback of this approach is that even if one CG does not use the power due to DRX or DL slots, the other CG cannot borrow the power dynamically.</w:t>
      </w:r>
    </w:p>
    <w:p w14:paraId="454F99A7" w14:textId="75CB2129" w:rsidR="0018758F" w:rsidRPr="0018758F" w:rsidRDefault="002F110E" w:rsidP="002F110E">
      <w:pPr>
        <w:pStyle w:val="ad"/>
        <w:numPr>
          <w:ilvl w:val="0"/>
          <w:numId w:val="47"/>
        </w:numPr>
        <w:ind w:leftChars="0"/>
        <w:rPr>
          <w:rFonts w:ascii="Times New Roman" w:hAnsi="Times New Roman" w:cs="Times New Roman"/>
          <w:b/>
          <w:kern w:val="28"/>
          <w:lang w:val="en-GB"/>
        </w:rPr>
      </w:pPr>
      <w:r>
        <w:rPr>
          <w:rFonts w:ascii="Times New Roman" w:eastAsiaTheme="minorEastAsia" w:hAnsi="Times New Roman" w:cs="Times New Roman"/>
          <w:lang w:val="en-GB"/>
        </w:rPr>
        <w:t xml:space="preserve">Use dual connectivity power control mode 2: another approach is to use DC PCM2 regardless of synchronous or asynchronous DC between LTE and NR. If this option is used, power can be split between two carrier groups and remained power or guaranteed power can be used in one CG if the other CG is not using the power. As in PCM2, the remained power if any can be allocated to a CG which has earlier transmission than the other CG. </w:t>
      </w:r>
      <w:r w:rsidR="0018758F">
        <w:rPr>
          <w:rFonts w:ascii="Times New Roman" w:eastAsiaTheme="minorEastAsia" w:hAnsi="Times New Roman" w:cs="Times New Roman"/>
          <w:lang w:val="en-GB"/>
        </w:rPr>
        <w:t xml:space="preserve">With different numerology and processing time, earlier transmission needs to be further clarified. </w:t>
      </w:r>
      <w:r w:rsidR="00217D07">
        <w:rPr>
          <w:rFonts w:ascii="Times New Roman" w:eastAsiaTheme="minorEastAsia" w:hAnsi="Times New Roman" w:cs="Times New Roman"/>
          <w:lang w:val="en-GB"/>
        </w:rPr>
        <w:t xml:space="preserve">Furthermore, utilizing guaranteed power when one CG is not using guaranteed power needs to be clarified as well. </w:t>
      </w:r>
    </w:p>
    <w:p w14:paraId="18762DA9" w14:textId="1A5824BC" w:rsidR="0018758F" w:rsidRPr="0018758F" w:rsidRDefault="0018758F" w:rsidP="002F110E">
      <w:pPr>
        <w:pStyle w:val="ad"/>
        <w:numPr>
          <w:ilvl w:val="0"/>
          <w:numId w:val="47"/>
        </w:numPr>
        <w:ind w:leftChars="0"/>
        <w:rPr>
          <w:rFonts w:ascii="Times New Roman" w:hAnsi="Times New Roman" w:cs="Times New Roman"/>
          <w:b/>
          <w:kern w:val="28"/>
          <w:lang w:val="en-GB"/>
        </w:rPr>
      </w:pPr>
      <w:r>
        <w:rPr>
          <w:rFonts w:ascii="Times New Roman" w:eastAsiaTheme="minorEastAsia" w:hAnsi="Times New Roman" w:cs="Times New Roman"/>
          <w:lang w:val="en-GB"/>
        </w:rPr>
        <w:t>Use DC PCM2 when asynchronous DC is configured and DC PCM1 when synchronous DC is configured: DC PCM1 is beneficial when synchronous operation is assumed between LTE and NR carriers. In terms of synchronous DC, as NR and LTE can use different numerology and can have different processing time, the definition of synchronous DC to utilize PCM1 needs to be clarified. One example is to assume that PCM1 can be used when NR and LTE use the same numerology and the processing time would be the same. As PCM1 requires look ahead operation, if processing times of each CG are different, it may complicate look ahead</w:t>
      </w:r>
      <w:r w:rsidR="00096C1E">
        <w:rPr>
          <w:rFonts w:ascii="Times New Roman" w:eastAsiaTheme="minorEastAsia" w:hAnsi="Times New Roman" w:cs="Times New Roman"/>
          <w:lang w:val="en-GB"/>
        </w:rPr>
        <w:t xml:space="preserve"> operation</w:t>
      </w:r>
      <w:r>
        <w:rPr>
          <w:rFonts w:ascii="Times New Roman" w:eastAsiaTheme="minorEastAsia" w:hAnsi="Times New Roman" w:cs="Times New Roman"/>
          <w:lang w:val="en-GB"/>
        </w:rPr>
        <w:t>.</w:t>
      </w:r>
    </w:p>
    <w:p w14:paraId="01DAE90F" w14:textId="77777777" w:rsidR="0018758F" w:rsidRDefault="0018758F" w:rsidP="0018758F">
      <w:pPr>
        <w:ind w:left="0" w:firstLine="0"/>
        <w:rPr>
          <w:rFonts w:eastAsiaTheme="minorEastAsia"/>
        </w:rPr>
      </w:pPr>
      <w:r>
        <w:rPr>
          <w:rFonts w:eastAsiaTheme="minorEastAsia"/>
        </w:rPr>
        <w:t xml:space="preserve">Given potential benefits and drawbacks of each approach, we propose to use DC PCM2 as a baseline power control for NR-LTE DC and also for NR-NR DC. </w:t>
      </w:r>
    </w:p>
    <w:p w14:paraId="598B8F78" w14:textId="77777777" w:rsidR="0018758F" w:rsidRDefault="0018758F" w:rsidP="0018758F">
      <w:pPr>
        <w:ind w:left="0" w:firstLine="0"/>
        <w:rPr>
          <w:rFonts w:eastAsiaTheme="minorEastAsia"/>
          <w:b/>
          <w:i/>
        </w:rPr>
      </w:pPr>
      <w:r w:rsidRPr="0018758F">
        <w:rPr>
          <w:rFonts w:eastAsiaTheme="minorEastAsia"/>
          <w:b/>
          <w:i/>
        </w:rPr>
        <w:t>Proposal 1: LTE DC PCM2 is a baseline power control mechanism between LTE-NR DC and NR-NR DC.</w:t>
      </w:r>
    </w:p>
    <w:p w14:paraId="7F301B78" w14:textId="36C596E8" w:rsidR="0018758F" w:rsidRDefault="0018758F" w:rsidP="0018758F">
      <w:pPr>
        <w:ind w:left="0" w:firstLine="0"/>
        <w:rPr>
          <w:rFonts w:eastAsiaTheme="minorEastAsia"/>
        </w:rPr>
      </w:pPr>
      <w:r>
        <w:rPr>
          <w:rFonts w:eastAsiaTheme="minorEastAsia"/>
        </w:rPr>
        <w:t xml:space="preserve">With different numerology and processing time, power sharing rule on earlier timing needs to be clarified. Using 15 kHz and 30 kHz subcarrier spacing, which results in different slot size, one example of LTE-NR DC is illustrated in </w:t>
      </w:r>
      <w:r>
        <w:rPr>
          <w:rFonts w:eastAsiaTheme="minorEastAsia"/>
        </w:rPr>
        <w:fldChar w:fldCharType="begin"/>
      </w:r>
      <w:r>
        <w:rPr>
          <w:rFonts w:eastAsiaTheme="minorEastAsia"/>
        </w:rPr>
        <w:instrText xml:space="preserve"> REF _Ref481429263 \h </w:instrText>
      </w:r>
      <w:r>
        <w:rPr>
          <w:rFonts w:eastAsiaTheme="minorEastAsia"/>
        </w:rPr>
      </w:r>
      <w:r>
        <w:rPr>
          <w:rFonts w:eastAsiaTheme="minorEastAsia"/>
        </w:rPr>
        <w:fldChar w:fldCharType="separate"/>
      </w:r>
      <w:r>
        <w:t xml:space="preserve">Figure </w:t>
      </w:r>
      <w:r>
        <w:rPr>
          <w:noProof/>
        </w:rPr>
        <w:t>1</w:t>
      </w:r>
      <w:r>
        <w:rPr>
          <w:rFonts w:eastAsiaTheme="minorEastAsia"/>
        </w:rPr>
        <w:fldChar w:fldCharType="end"/>
      </w:r>
      <w:r>
        <w:rPr>
          <w:rFonts w:eastAsiaTheme="minorEastAsia"/>
        </w:rPr>
        <w:t xml:space="preserve">. </w:t>
      </w:r>
      <w:r>
        <w:rPr>
          <w:rFonts w:eastAsiaTheme="minorEastAsia"/>
        </w:rPr>
        <w:lastRenderedPageBreak/>
        <w:t>Assuming power can be changed/determined at 1SF or 1 slot before UL transmission, a UE can have different points where power needs to be determined.</w:t>
      </w:r>
      <w:r w:rsidR="00951EDB">
        <w:rPr>
          <w:rFonts w:eastAsiaTheme="minorEastAsia"/>
        </w:rPr>
        <w:t xml:space="preserve"> For example, t0 is the time where the UE determines power for subframe n, and t1 is the time where the UE determines power for slot m. Even though slot m is ahead </w:t>
      </w:r>
      <w:r w:rsidR="00AC49B0">
        <w:rPr>
          <w:rFonts w:eastAsiaTheme="minorEastAsia"/>
        </w:rPr>
        <w:t>of subframe n, as the UE may not have the information on power for slot m at t0, the UE allocate remained power to subframe n. Thus, at t1, the UE cannot allocate remained power to slot m. In this sense, earlier timing is not defined by actual uplink transmission</w:t>
      </w:r>
      <w:r w:rsidR="000A3FC9">
        <w:rPr>
          <w:rFonts w:eastAsiaTheme="minorEastAsia"/>
        </w:rPr>
        <w:t xml:space="preserve"> timing</w:t>
      </w:r>
      <w:r w:rsidR="00AC49B0">
        <w:rPr>
          <w:rFonts w:eastAsiaTheme="minorEastAsia"/>
        </w:rPr>
        <w:t xml:space="preserve">. Rather it is determined based on power control determination and processing time.  </w:t>
      </w:r>
      <w:r>
        <w:rPr>
          <w:rFonts w:eastAsiaTheme="minorEastAsia"/>
        </w:rPr>
        <w:t xml:space="preserve"> </w:t>
      </w:r>
    </w:p>
    <w:p w14:paraId="6AC7F6E7" w14:textId="1538397D" w:rsidR="0018758F" w:rsidRDefault="000E2D89" w:rsidP="0018758F">
      <w:pPr>
        <w:ind w:left="0" w:firstLine="0"/>
        <w:rPr>
          <w:rFonts w:eastAsiaTheme="minorEastAsia"/>
        </w:rPr>
      </w:pPr>
      <w:r w:rsidRPr="000E2D89">
        <w:drawing>
          <wp:inline distT="0" distB="0" distL="0" distR="0" wp14:anchorId="42FD7F36" wp14:editId="59BBA725">
            <wp:extent cx="6120130" cy="249360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2493603"/>
                    </a:xfrm>
                    <a:prstGeom prst="rect">
                      <a:avLst/>
                    </a:prstGeom>
                    <a:noFill/>
                    <a:ln>
                      <a:noFill/>
                    </a:ln>
                  </pic:spPr>
                </pic:pic>
              </a:graphicData>
            </a:graphic>
          </wp:inline>
        </w:drawing>
      </w:r>
    </w:p>
    <w:p w14:paraId="3B346BBB" w14:textId="45503E13" w:rsidR="0018758F" w:rsidRDefault="0018758F" w:rsidP="0018758F">
      <w:pPr>
        <w:pStyle w:val="af"/>
        <w:rPr>
          <w:rFonts w:eastAsiaTheme="minorEastAsia"/>
        </w:rPr>
      </w:pPr>
      <w:bookmarkStart w:id="3" w:name="_Ref481429263"/>
      <w:r>
        <w:t xml:space="preserve">Figure </w:t>
      </w:r>
      <w:r>
        <w:fldChar w:fldCharType="begin"/>
      </w:r>
      <w:r>
        <w:instrText xml:space="preserve"> SEQ Figure \* ARABIC </w:instrText>
      </w:r>
      <w:r>
        <w:fldChar w:fldCharType="separate"/>
      </w:r>
      <w:r w:rsidR="00644188">
        <w:rPr>
          <w:noProof/>
        </w:rPr>
        <w:t>1</w:t>
      </w:r>
      <w:r>
        <w:fldChar w:fldCharType="end"/>
      </w:r>
      <w:bookmarkEnd w:id="3"/>
      <w:r>
        <w:t>. Illustration of different numerology between MCG and SCG</w:t>
      </w:r>
    </w:p>
    <w:p w14:paraId="423FE050" w14:textId="278D3973" w:rsidR="00217D07" w:rsidRPr="00217D07" w:rsidRDefault="0018758F" w:rsidP="0018758F">
      <w:pPr>
        <w:ind w:left="0" w:firstLine="0"/>
        <w:rPr>
          <w:rFonts w:eastAsiaTheme="minorEastAsia"/>
        </w:rPr>
      </w:pPr>
      <w:r w:rsidRPr="0018758F">
        <w:rPr>
          <w:rFonts w:eastAsiaTheme="minorEastAsia"/>
          <w:b/>
          <w:i/>
        </w:rPr>
        <w:t xml:space="preserve">  </w:t>
      </w:r>
      <w:r w:rsidR="002F110E" w:rsidRPr="0018758F">
        <w:rPr>
          <w:rFonts w:eastAsiaTheme="minorEastAsia"/>
          <w:b/>
          <w:i/>
        </w:rPr>
        <w:t xml:space="preserve"> </w:t>
      </w:r>
      <w:r w:rsidR="00AC49B0">
        <w:rPr>
          <w:rFonts w:eastAsiaTheme="minorEastAsia"/>
        </w:rPr>
        <w:t xml:space="preserve">If this is used, </w:t>
      </w:r>
      <w:r w:rsidR="00AC49B0">
        <w:rPr>
          <w:rFonts w:eastAsiaTheme="minorEastAsia"/>
        </w:rPr>
        <w:fldChar w:fldCharType="begin"/>
      </w:r>
      <w:r w:rsidR="00AC49B0">
        <w:rPr>
          <w:rFonts w:eastAsiaTheme="minorEastAsia"/>
        </w:rPr>
        <w:instrText xml:space="preserve"> REF _Ref481429904 \h </w:instrText>
      </w:r>
      <w:r w:rsidR="00AC49B0">
        <w:rPr>
          <w:rFonts w:eastAsiaTheme="minorEastAsia"/>
        </w:rPr>
      </w:r>
      <w:r w:rsidR="00AC49B0">
        <w:rPr>
          <w:rFonts w:eastAsiaTheme="minorEastAsia"/>
        </w:rPr>
        <w:fldChar w:fldCharType="separate"/>
      </w:r>
      <w:r w:rsidR="00AC49B0">
        <w:t xml:space="preserve">Figure </w:t>
      </w:r>
      <w:r w:rsidR="00AC49B0">
        <w:rPr>
          <w:noProof/>
        </w:rPr>
        <w:t>2</w:t>
      </w:r>
      <w:r w:rsidR="00AC49B0">
        <w:rPr>
          <w:rFonts w:eastAsiaTheme="minorEastAsia"/>
        </w:rPr>
        <w:fldChar w:fldCharType="end"/>
      </w:r>
      <w:r w:rsidR="00AC49B0">
        <w:rPr>
          <w:rFonts w:eastAsiaTheme="minorEastAsia"/>
        </w:rPr>
        <w:t xml:space="preserve"> shows actual power allocation for each CG. </w:t>
      </w:r>
    </w:p>
    <w:p w14:paraId="689F65B7" w14:textId="5724E1C2" w:rsidR="00AC49B0" w:rsidRDefault="00217D07" w:rsidP="0018758F">
      <w:pPr>
        <w:ind w:left="0" w:firstLine="0"/>
        <w:rPr>
          <w:rFonts w:eastAsia="바탕"/>
          <w:kern w:val="28"/>
          <w:lang w:eastAsia="ko-KR"/>
        </w:rPr>
      </w:pPr>
      <w:r w:rsidRPr="00217D07">
        <w:rPr>
          <w:noProof/>
          <w:lang w:val="en-US" w:eastAsia="ko-KR"/>
        </w:rPr>
        <w:drawing>
          <wp:inline distT="0" distB="0" distL="0" distR="0" wp14:anchorId="6B821986" wp14:editId="1A937586">
            <wp:extent cx="6120130" cy="2461698"/>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2461698"/>
                    </a:xfrm>
                    <a:prstGeom prst="rect">
                      <a:avLst/>
                    </a:prstGeom>
                    <a:noFill/>
                    <a:ln>
                      <a:noFill/>
                    </a:ln>
                  </pic:spPr>
                </pic:pic>
              </a:graphicData>
            </a:graphic>
          </wp:inline>
        </w:drawing>
      </w:r>
    </w:p>
    <w:p w14:paraId="0A9E112F" w14:textId="14638BF9" w:rsidR="00AC49B0" w:rsidRDefault="00AC49B0" w:rsidP="00AC49B0">
      <w:pPr>
        <w:pStyle w:val="af"/>
      </w:pPr>
      <w:bookmarkStart w:id="4" w:name="_Ref481429904"/>
      <w:r>
        <w:t xml:space="preserve">Figure </w:t>
      </w:r>
      <w:r>
        <w:fldChar w:fldCharType="begin"/>
      </w:r>
      <w:r>
        <w:instrText xml:space="preserve"> SEQ Figure \* ARABIC </w:instrText>
      </w:r>
      <w:r>
        <w:fldChar w:fldCharType="separate"/>
      </w:r>
      <w:r w:rsidR="00644188">
        <w:rPr>
          <w:noProof/>
        </w:rPr>
        <w:t>2</w:t>
      </w:r>
      <w:r>
        <w:fldChar w:fldCharType="end"/>
      </w:r>
      <w:bookmarkEnd w:id="4"/>
      <w:r>
        <w:t>. Illustration of allocated power via earlier timing determination</w:t>
      </w:r>
    </w:p>
    <w:p w14:paraId="5999D7CA" w14:textId="6303AA10" w:rsidR="00217D07" w:rsidRDefault="00217D07" w:rsidP="00217D07">
      <w:pPr>
        <w:ind w:left="0" w:firstLine="0"/>
        <w:rPr>
          <w:rFonts w:eastAsiaTheme="minorEastAsia"/>
          <w:lang w:eastAsia="ko-KR"/>
        </w:rPr>
      </w:pPr>
      <w:r>
        <w:rPr>
          <w:rFonts w:eastAsiaTheme="minorEastAsia" w:hint="eastAsia"/>
          <w:lang w:eastAsia="ko-KR"/>
        </w:rPr>
        <w:t xml:space="preserve">This issue is present regardless of LTE-NR DC or NR-NR DC. </w:t>
      </w:r>
      <w:r>
        <w:rPr>
          <w:rFonts w:eastAsiaTheme="minorEastAsia"/>
          <w:lang w:eastAsia="ko-KR"/>
        </w:rPr>
        <w:t xml:space="preserve">Furthermore, similar issue can occur even between NR-NR carrier aggregation when different numerology and processing time is assumed. Generally, to simplify the power sharing, it is thus desirable that a UE can allocate power to the earlier transmission in consideration of processing time. </w:t>
      </w:r>
    </w:p>
    <w:p w14:paraId="667F5045" w14:textId="4BA4BCBF" w:rsidR="00217D07" w:rsidRDefault="00217D07" w:rsidP="00217D07">
      <w:pPr>
        <w:ind w:left="0" w:firstLine="0"/>
        <w:rPr>
          <w:rFonts w:eastAsiaTheme="minorEastAsia"/>
          <w:b/>
          <w:i/>
        </w:rPr>
      </w:pPr>
      <w:r w:rsidRPr="0018758F">
        <w:rPr>
          <w:rFonts w:eastAsiaTheme="minorEastAsia"/>
          <w:b/>
          <w:i/>
        </w:rPr>
        <w:t xml:space="preserve">Proposal </w:t>
      </w:r>
      <w:r>
        <w:rPr>
          <w:rFonts w:eastAsiaTheme="minorEastAsia"/>
          <w:b/>
          <w:i/>
        </w:rPr>
        <w:t>2</w:t>
      </w:r>
      <w:r w:rsidRPr="0018758F">
        <w:rPr>
          <w:rFonts w:eastAsiaTheme="minorEastAsia"/>
          <w:b/>
          <w:i/>
        </w:rPr>
        <w:t xml:space="preserve">: </w:t>
      </w:r>
      <w:r>
        <w:rPr>
          <w:rFonts w:eastAsiaTheme="minorEastAsia"/>
          <w:b/>
          <w:i/>
        </w:rPr>
        <w:t>In PCM2, earlier timing is determined in consideration of processing time by a given numerology of each CG.</w:t>
      </w:r>
    </w:p>
    <w:p w14:paraId="0CC4106B" w14:textId="4FF82120" w:rsidR="00217D07" w:rsidRPr="00217D07" w:rsidRDefault="00217D07" w:rsidP="00217D07">
      <w:pPr>
        <w:ind w:left="0" w:firstLine="0"/>
        <w:rPr>
          <w:rFonts w:eastAsiaTheme="minorEastAsia"/>
        </w:rPr>
      </w:pPr>
      <w:r>
        <w:rPr>
          <w:rFonts w:eastAsiaTheme="minorEastAsia"/>
        </w:rPr>
        <w:lastRenderedPageBreak/>
        <w:t xml:space="preserve">Another issue is to utilize guaranteed power of one CG in case one CG is not going to utilize </w:t>
      </w:r>
      <w:r w:rsidR="00DD71B0">
        <w:rPr>
          <w:rFonts w:eastAsiaTheme="minorEastAsia"/>
        </w:rPr>
        <w:t xml:space="preserve">the configured </w:t>
      </w:r>
      <w:r>
        <w:rPr>
          <w:rFonts w:eastAsiaTheme="minorEastAsia"/>
        </w:rPr>
        <w:t xml:space="preserve">guaranteed power. Examples include DRX, downlink subframe/slots, no UL scheduling, etc. For semi-statically configured resources such as DRX or semi-statically configured downlink subframe/slots which would not be altered dynamically can be assured where the guaranteed power can be borrowed for the other CG. However, to borrow power based on dynamic signaling such as slot type structure based on group-common PDCCH or based on UL grant, processing time needs to be considered. </w:t>
      </w:r>
      <w:r w:rsidR="00F4706F">
        <w:rPr>
          <w:rFonts w:eastAsiaTheme="minorEastAsia"/>
        </w:rPr>
        <w:t xml:space="preserve">For example, if self-contained scheduling is considered, UL grant may occur only a few OFDM symbols before the UL transmission. Thus, the guaranteed power can be borrowed from one CG only when the UE can be assured that there will be no UL transmission either from semi-static configuration or the CG would not have any UL grant for the next overlapped UL portions.  </w:t>
      </w:r>
    </w:p>
    <w:p w14:paraId="7753244E" w14:textId="280E34BF" w:rsidR="00217D07" w:rsidRDefault="00F4706F" w:rsidP="00217D07">
      <w:pPr>
        <w:ind w:left="0" w:firstLine="0"/>
        <w:rPr>
          <w:rFonts w:eastAsiaTheme="minorEastAsia"/>
        </w:rPr>
      </w:pPr>
      <w:r w:rsidRPr="00F4706F">
        <w:rPr>
          <w:noProof/>
          <w:lang w:val="en-US" w:eastAsia="ko-KR"/>
        </w:rPr>
        <w:drawing>
          <wp:inline distT="0" distB="0" distL="0" distR="0" wp14:anchorId="460D8CB1" wp14:editId="07F38CD7">
            <wp:extent cx="6120130" cy="3202148"/>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3202148"/>
                    </a:xfrm>
                    <a:prstGeom prst="rect">
                      <a:avLst/>
                    </a:prstGeom>
                    <a:noFill/>
                    <a:ln>
                      <a:noFill/>
                    </a:ln>
                  </pic:spPr>
                </pic:pic>
              </a:graphicData>
            </a:graphic>
          </wp:inline>
        </w:drawing>
      </w:r>
    </w:p>
    <w:p w14:paraId="256EDC0A" w14:textId="758C37D9" w:rsidR="00F4706F" w:rsidRDefault="00F4706F" w:rsidP="00F4706F">
      <w:pPr>
        <w:pStyle w:val="af"/>
        <w:jc w:val="center"/>
        <w:rPr>
          <w:sz w:val="20"/>
        </w:rPr>
      </w:pPr>
      <w:bookmarkStart w:id="5" w:name="_Ref481431174"/>
      <w:r w:rsidRPr="00F4706F">
        <w:rPr>
          <w:sz w:val="20"/>
        </w:rPr>
        <w:t xml:space="preserve">Figure </w:t>
      </w:r>
      <w:r w:rsidRPr="00F4706F">
        <w:rPr>
          <w:sz w:val="20"/>
        </w:rPr>
        <w:fldChar w:fldCharType="begin"/>
      </w:r>
      <w:r w:rsidRPr="00F4706F">
        <w:rPr>
          <w:sz w:val="20"/>
        </w:rPr>
        <w:instrText xml:space="preserve"> SEQ Figure \* ARABIC </w:instrText>
      </w:r>
      <w:r w:rsidRPr="00F4706F">
        <w:rPr>
          <w:sz w:val="20"/>
        </w:rPr>
        <w:fldChar w:fldCharType="separate"/>
      </w:r>
      <w:r w:rsidR="00644188">
        <w:rPr>
          <w:noProof/>
          <w:sz w:val="20"/>
        </w:rPr>
        <w:t>3</w:t>
      </w:r>
      <w:r w:rsidRPr="00F4706F">
        <w:rPr>
          <w:sz w:val="20"/>
        </w:rPr>
        <w:fldChar w:fldCharType="end"/>
      </w:r>
      <w:bookmarkEnd w:id="5"/>
      <w:r w:rsidRPr="00F4706F">
        <w:rPr>
          <w:sz w:val="20"/>
        </w:rPr>
        <w:t>. Illustration of power sharing including guaranteed power</w:t>
      </w:r>
    </w:p>
    <w:p w14:paraId="1F4765E3" w14:textId="250E6183" w:rsidR="00F4706F" w:rsidRDefault="00F4706F" w:rsidP="00F4706F">
      <w:pPr>
        <w:ind w:left="0" w:firstLine="0"/>
        <w:rPr>
          <w:lang w:eastAsia="ja-JP"/>
        </w:rPr>
      </w:pPr>
      <w:r>
        <w:rPr>
          <w:lang w:eastAsia="ja-JP"/>
        </w:rPr>
        <w:t xml:space="preserve">As shown in </w:t>
      </w:r>
      <w:r>
        <w:rPr>
          <w:lang w:eastAsia="ja-JP"/>
        </w:rPr>
        <w:fldChar w:fldCharType="begin"/>
      </w:r>
      <w:r>
        <w:rPr>
          <w:lang w:eastAsia="ja-JP"/>
        </w:rPr>
        <w:instrText xml:space="preserve"> REF _Ref481431174 \h </w:instrText>
      </w:r>
      <w:r>
        <w:rPr>
          <w:lang w:eastAsia="ja-JP"/>
        </w:rPr>
      </w:r>
      <w:r>
        <w:rPr>
          <w:lang w:eastAsia="ja-JP"/>
        </w:rPr>
        <w:fldChar w:fldCharType="separate"/>
      </w:r>
      <w:r w:rsidRPr="00F4706F">
        <w:t xml:space="preserve">Figure </w:t>
      </w:r>
      <w:r w:rsidRPr="00F4706F">
        <w:rPr>
          <w:noProof/>
        </w:rPr>
        <w:t>3</w:t>
      </w:r>
      <w:r>
        <w:rPr>
          <w:lang w:eastAsia="ja-JP"/>
        </w:rPr>
        <w:fldChar w:fldCharType="end"/>
      </w:r>
      <w:r>
        <w:rPr>
          <w:lang w:eastAsia="ja-JP"/>
        </w:rPr>
        <w:t xml:space="preserve">, at t1 for slot m+3, the UE knows that there will be no scheduling at subframe n+1 based on the processing time of MCG, it can borrow guaranteed power of MCG. In slot m+4, the UE may not borrow guaranteed power from MCG if there is UL scheduling in subframe n+2. </w:t>
      </w:r>
    </w:p>
    <w:p w14:paraId="7814B7C6" w14:textId="3C7097E7" w:rsidR="00D6250C" w:rsidRDefault="00F4706F" w:rsidP="00F4706F">
      <w:pPr>
        <w:ind w:left="0" w:firstLine="0"/>
        <w:rPr>
          <w:lang w:eastAsia="ja-JP"/>
        </w:rPr>
      </w:pPr>
      <w:r>
        <w:rPr>
          <w:lang w:eastAsia="ja-JP"/>
        </w:rPr>
        <w:t xml:space="preserve">With different processing time, </w:t>
      </w:r>
      <w:r w:rsidR="00377555">
        <w:rPr>
          <w:lang w:eastAsia="ja-JP"/>
        </w:rPr>
        <w:t>even if subframe n+1 has uplink transmission, but if the requested power is smaller than its guaranteed power, unused power can be used for slot m+3 as the UE knows that there will be no UL transmission at MCG for that duration.</w:t>
      </w:r>
      <w:r w:rsidR="00D6250C">
        <w:rPr>
          <w:lang w:eastAsia="ja-JP"/>
        </w:rPr>
        <w:t xml:space="preserve"> </w:t>
      </w:r>
    </w:p>
    <w:p w14:paraId="4AAA0987" w14:textId="2572C7D9" w:rsidR="00644188" w:rsidRDefault="00644188" w:rsidP="00F4706F">
      <w:pPr>
        <w:ind w:left="0" w:firstLine="0"/>
        <w:rPr>
          <w:lang w:eastAsia="ja-JP"/>
        </w:rPr>
      </w:pPr>
      <w:r>
        <w:rPr>
          <w:lang w:eastAsia="ja-JP"/>
        </w:rPr>
        <w:t xml:space="preserve">In other words, if look-ahead is possible due to different processing time, a UE can borrow unused power from the other CG. </w:t>
      </w:r>
      <w:r w:rsidR="005D4309">
        <w:rPr>
          <w:lang w:eastAsia="ja-JP"/>
        </w:rPr>
        <w:fldChar w:fldCharType="begin"/>
      </w:r>
      <w:r w:rsidR="005D4309">
        <w:rPr>
          <w:lang w:eastAsia="ja-JP"/>
        </w:rPr>
        <w:instrText xml:space="preserve"> REF _Ref481431572 \h </w:instrText>
      </w:r>
      <w:r w:rsidR="005D4309">
        <w:rPr>
          <w:lang w:eastAsia="ja-JP"/>
        </w:rPr>
      </w:r>
      <w:r w:rsidR="005D4309">
        <w:rPr>
          <w:lang w:eastAsia="ja-JP"/>
        </w:rPr>
        <w:fldChar w:fldCharType="separate"/>
      </w:r>
      <w:r w:rsidR="005D4309" w:rsidRPr="00644188">
        <w:t xml:space="preserve">Figure </w:t>
      </w:r>
      <w:r w:rsidR="005D4309" w:rsidRPr="00644188">
        <w:rPr>
          <w:noProof/>
        </w:rPr>
        <w:t>4</w:t>
      </w:r>
      <w:r w:rsidR="005D4309">
        <w:rPr>
          <w:lang w:eastAsia="ja-JP"/>
        </w:rPr>
        <w:fldChar w:fldCharType="end"/>
      </w:r>
      <w:r w:rsidR="005D4309">
        <w:rPr>
          <w:lang w:eastAsia="ja-JP"/>
        </w:rPr>
        <w:t xml:space="preserve"> shows an example of dynamic power sharing based on processing time.</w:t>
      </w:r>
    </w:p>
    <w:p w14:paraId="3CC4569F" w14:textId="3035886D" w:rsidR="00644188" w:rsidRDefault="00644188" w:rsidP="00F4706F">
      <w:pPr>
        <w:ind w:left="0" w:firstLine="0"/>
        <w:rPr>
          <w:lang w:eastAsia="ja-JP"/>
        </w:rPr>
      </w:pPr>
      <w:r w:rsidRPr="00644188">
        <w:rPr>
          <w:rFonts w:hint="eastAsia"/>
          <w:noProof/>
          <w:lang w:val="en-US" w:eastAsia="ko-KR"/>
        </w:rPr>
        <w:lastRenderedPageBreak/>
        <w:drawing>
          <wp:inline distT="0" distB="0" distL="0" distR="0" wp14:anchorId="44841AE4" wp14:editId="4D5C7555">
            <wp:extent cx="6120130" cy="3052789"/>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3052789"/>
                    </a:xfrm>
                    <a:prstGeom prst="rect">
                      <a:avLst/>
                    </a:prstGeom>
                    <a:noFill/>
                    <a:ln>
                      <a:noFill/>
                    </a:ln>
                  </pic:spPr>
                </pic:pic>
              </a:graphicData>
            </a:graphic>
          </wp:inline>
        </w:drawing>
      </w:r>
    </w:p>
    <w:p w14:paraId="6F0E1A0A" w14:textId="2BFCFD1F" w:rsidR="00644188" w:rsidRPr="00644188" w:rsidRDefault="00644188" w:rsidP="00644188">
      <w:pPr>
        <w:pStyle w:val="af"/>
        <w:jc w:val="center"/>
        <w:rPr>
          <w:sz w:val="20"/>
        </w:rPr>
      </w:pPr>
      <w:bookmarkStart w:id="6" w:name="_Ref481431572"/>
      <w:r w:rsidRPr="00644188">
        <w:rPr>
          <w:sz w:val="20"/>
        </w:rPr>
        <w:t xml:space="preserve">Figure </w:t>
      </w:r>
      <w:r w:rsidRPr="00644188">
        <w:rPr>
          <w:sz w:val="20"/>
        </w:rPr>
        <w:fldChar w:fldCharType="begin"/>
      </w:r>
      <w:r w:rsidRPr="00644188">
        <w:rPr>
          <w:sz w:val="20"/>
        </w:rPr>
        <w:instrText xml:space="preserve"> SEQ Figure \* ARABIC </w:instrText>
      </w:r>
      <w:r w:rsidRPr="00644188">
        <w:rPr>
          <w:sz w:val="20"/>
        </w:rPr>
        <w:fldChar w:fldCharType="separate"/>
      </w:r>
      <w:r w:rsidRPr="00644188">
        <w:rPr>
          <w:noProof/>
          <w:sz w:val="20"/>
        </w:rPr>
        <w:t>4</w:t>
      </w:r>
      <w:r w:rsidRPr="00644188">
        <w:rPr>
          <w:sz w:val="20"/>
        </w:rPr>
        <w:fldChar w:fldCharType="end"/>
      </w:r>
      <w:bookmarkEnd w:id="6"/>
      <w:r w:rsidRPr="00644188">
        <w:rPr>
          <w:sz w:val="20"/>
        </w:rPr>
        <w:t>. Illustration of dynamic power sharing based on look-ahead</w:t>
      </w:r>
    </w:p>
    <w:p w14:paraId="1EA0033A" w14:textId="2EF6B327" w:rsidR="00217D07" w:rsidRPr="000B0C36" w:rsidRDefault="000B0C36" w:rsidP="00217D07">
      <w:pPr>
        <w:ind w:left="0" w:firstLine="0"/>
        <w:rPr>
          <w:rFonts w:eastAsiaTheme="minorEastAsia"/>
          <w:b/>
          <w:i/>
          <w:lang w:eastAsia="ko-KR"/>
        </w:rPr>
      </w:pPr>
      <w:r w:rsidRPr="000B0C36">
        <w:rPr>
          <w:rFonts w:eastAsiaTheme="minorEastAsia" w:hint="eastAsia"/>
          <w:b/>
          <w:i/>
          <w:lang w:eastAsia="ko-KR"/>
        </w:rPr>
        <w:t xml:space="preserve">Proposal </w:t>
      </w:r>
      <w:r w:rsidRPr="000B0C36">
        <w:rPr>
          <w:rFonts w:eastAsiaTheme="minorEastAsia"/>
          <w:b/>
          <w:i/>
          <w:lang w:eastAsia="ko-KR"/>
        </w:rPr>
        <w:t xml:space="preserve">3. Based on UE processing time, if a UE is ensured that there will be unused power in the other CG, regardless of synchronous/asynchronous DC, the unused power can be borrowed. </w:t>
      </w: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5B314C22" w14:textId="2039B056" w:rsidR="00662812" w:rsidRDefault="00662812" w:rsidP="00662812">
      <w:pPr>
        <w:ind w:left="0" w:hanging="1"/>
        <w:rPr>
          <w:rFonts w:eastAsia="맑은 고딕"/>
          <w:sz w:val="22"/>
          <w:lang w:val="en-US" w:eastAsia="ko-KR"/>
        </w:rPr>
      </w:pPr>
      <w:r>
        <w:rPr>
          <w:rFonts w:eastAsia="맑은 고딕" w:hint="eastAsia"/>
          <w:sz w:val="22"/>
          <w:lang w:val="en-US" w:eastAsia="ko-KR"/>
        </w:rPr>
        <w:t xml:space="preserve">This contribution discussed power control for dual connectivity, and proposed the followings. </w:t>
      </w:r>
    </w:p>
    <w:p w14:paraId="7457ADFC" w14:textId="77777777" w:rsidR="00662812" w:rsidRDefault="00662812" w:rsidP="00662812">
      <w:pPr>
        <w:ind w:left="0" w:firstLine="0"/>
        <w:rPr>
          <w:rFonts w:eastAsiaTheme="minorEastAsia"/>
          <w:b/>
          <w:i/>
        </w:rPr>
      </w:pPr>
      <w:r w:rsidRPr="0018758F">
        <w:rPr>
          <w:rFonts w:eastAsiaTheme="minorEastAsia"/>
          <w:b/>
          <w:i/>
        </w:rPr>
        <w:t>Proposal 1: LTE DC PCM2 is a baseline power control mechanism between LTE-NR DC and NR-NR DC.</w:t>
      </w:r>
    </w:p>
    <w:p w14:paraId="4E93A345" w14:textId="77777777" w:rsidR="00391E1B" w:rsidRDefault="001B3F48" w:rsidP="002D1ABE">
      <w:pPr>
        <w:ind w:left="0" w:firstLine="0"/>
        <w:rPr>
          <w:rFonts w:eastAsiaTheme="minorEastAsia"/>
          <w:b/>
          <w:i/>
        </w:rPr>
      </w:pPr>
      <w:r w:rsidRPr="0018758F">
        <w:rPr>
          <w:rFonts w:eastAsiaTheme="minorEastAsia"/>
          <w:b/>
          <w:i/>
        </w:rPr>
        <w:t xml:space="preserve">Proposal </w:t>
      </w:r>
      <w:r>
        <w:rPr>
          <w:rFonts w:eastAsiaTheme="minorEastAsia"/>
          <w:b/>
          <w:i/>
        </w:rPr>
        <w:t>2</w:t>
      </w:r>
      <w:r w:rsidRPr="0018758F">
        <w:rPr>
          <w:rFonts w:eastAsiaTheme="minorEastAsia"/>
          <w:b/>
          <w:i/>
        </w:rPr>
        <w:t xml:space="preserve">: </w:t>
      </w:r>
      <w:r>
        <w:rPr>
          <w:rFonts w:eastAsiaTheme="minorEastAsia"/>
          <w:b/>
          <w:i/>
        </w:rPr>
        <w:t>In PCM2, earlier timing is determined in consideration of processing time by a given numerology of each CG.</w:t>
      </w:r>
    </w:p>
    <w:p w14:paraId="602E8957" w14:textId="10EB6A88" w:rsidR="00662812" w:rsidRDefault="002770EF" w:rsidP="002D1ABE">
      <w:pPr>
        <w:ind w:left="0" w:firstLine="0"/>
        <w:rPr>
          <w:rFonts w:eastAsiaTheme="minorEastAsia"/>
          <w:b/>
          <w:i/>
          <w:lang w:eastAsia="ko-KR"/>
        </w:rPr>
      </w:pPr>
      <w:r w:rsidRPr="000B0C36">
        <w:rPr>
          <w:rFonts w:eastAsiaTheme="minorEastAsia" w:hint="eastAsia"/>
          <w:b/>
          <w:i/>
          <w:lang w:eastAsia="ko-KR"/>
        </w:rPr>
        <w:t xml:space="preserve">Proposal </w:t>
      </w:r>
      <w:r w:rsidRPr="000B0C36">
        <w:rPr>
          <w:rFonts w:eastAsiaTheme="minorEastAsia"/>
          <w:b/>
          <w:i/>
          <w:lang w:eastAsia="ko-KR"/>
        </w:rPr>
        <w:t xml:space="preserve">3. Based on UE processing time, if a UE is ensured that there will be unused power in the other CG, regardless of synchronous/asynchronous DC, the unused power can be borrowed. </w:t>
      </w:r>
    </w:p>
    <w:p w14:paraId="5406D7D6" w14:textId="77777777" w:rsidR="002D1ABE" w:rsidRPr="002D1ABE" w:rsidRDefault="002D1ABE" w:rsidP="002D1ABE">
      <w:pPr>
        <w:ind w:left="0" w:firstLine="0"/>
        <w:rPr>
          <w:rFonts w:eastAsiaTheme="minorEastAsia" w:hint="eastAsia"/>
          <w:b/>
          <w:i/>
          <w:lang w:eastAsia="ko-KR"/>
        </w:rPr>
      </w:pPr>
    </w:p>
    <w:p w14:paraId="70EE82F5" w14:textId="15FA9891" w:rsidR="00380F89" w:rsidRPr="008D28B3" w:rsidRDefault="00C1458F" w:rsidP="008D28B3">
      <w:pPr>
        <w:pStyle w:val="1"/>
        <w:numPr>
          <w:ilvl w:val="0"/>
          <w:numId w:val="1"/>
        </w:numPr>
        <w:spacing w:before="180"/>
        <w:rPr>
          <w:rFonts w:eastAsia="바탕"/>
          <w:b/>
          <w:lang w:eastAsia="ko-KR"/>
        </w:rPr>
      </w:pPr>
      <w:r w:rsidRPr="007036D8">
        <w:rPr>
          <w:rFonts w:eastAsia="바탕" w:hint="eastAsia"/>
          <w:b/>
          <w:lang w:eastAsia="ko-KR"/>
        </w:rPr>
        <w:t>Reference</w:t>
      </w:r>
      <w:bookmarkStart w:id="7" w:name="_GoBack"/>
      <w:bookmarkEnd w:id="7"/>
    </w:p>
    <w:sectPr w:rsidR="00380F89" w:rsidRPr="008D28B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05ECF" w14:textId="77777777" w:rsidR="00B76663" w:rsidRDefault="00B76663" w:rsidP="00CB15B0">
      <w:pPr>
        <w:spacing w:before="0" w:after="0" w:line="240" w:lineRule="auto"/>
      </w:pPr>
      <w:r>
        <w:separator/>
      </w:r>
    </w:p>
  </w:endnote>
  <w:endnote w:type="continuationSeparator" w:id="0">
    <w:p w14:paraId="76FD3414" w14:textId="77777777" w:rsidR="00B76663" w:rsidRDefault="00B7666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EF5F7" w14:textId="77777777" w:rsidR="00B76663" w:rsidRDefault="00B76663" w:rsidP="00CB15B0">
      <w:pPr>
        <w:spacing w:before="0" w:after="0" w:line="240" w:lineRule="auto"/>
      </w:pPr>
      <w:r>
        <w:separator/>
      </w:r>
    </w:p>
  </w:footnote>
  <w:footnote w:type="continuationSeparator" w:id="0">
    <w:p w14:paraId="363307E6" w14:textId="77777777" w:rsidR="00B76663" w:rsidRDefault="00B7666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44C12C9"/>
    <w:multiLevelType w:val="hybridMultilevel"/>
    <w:tmpl w:val="397EE29C"/>
    <w:lvl w:ilvl="0" w:tplc="0409000B">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62457A"/>
    <w:multiLevelType w:val="hybridMultilevel"/>
    <w:tmpl w:val="5CF46586"/>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B910C6"/>
    <w:multiLevelType w:val="hybridMultilevel"/>
    <w:tmpl w:val="6772FCCE"/>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6DC0311"/>
    <w:multiLevelType w:val="hybridMultilevel"/>
    <w:tmpl w:val="EE5CF42E"/>
    <w:lvl w:ilvl="0" w:tplc="1640098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15:restartNumberingAfterBreak="0">
    <w:nsid w:val="31665EEC"/>
    <w:multiLevelType w:val="hybridMultilevel"/>
    <w:tmpl w:val="9856B100"/>
    <w:lvl w:ilvl="0" w:tplc="C41AD11C">
      <w:start w:val="1"/>
      <w:numFmt w:val="bullet"/>
      <w:lvlText w:val="•"/>
      <w:lvlJc w:val="left"/>
      <w:pPr>
        <w:tabs>
          <w:tab w:val="num" w:pos="360"/>
        </w:tabs>
        <w:ind w:left="360" w:hanging="360"/>
      </w:pPr>
      <w:rPr>
        <w:rFonts w:ascii="Arial" w:hAnsi="Arial" w:hint="default"/>
      </w:rPr>
    </w:lvl>
    <w:lvl w:ilvl="1" w:tplc="AED0E988">
      <w:numFmt w:val="bullet"/>
      <w:lvlText w:val="•"/>
      <w:lvlJc w:val="left"/>
      <w:pPr>
        <w:tabs>
          <w:tab w:val="num" w:pos="1080"/>
        </w:tabs>
        <w:ind w:left="1080" w:hanging="360"/>
      </w:pPr>
      <w:rPr>
        <w:rFonts w:ascii="Arial" w:hAnsi="Arial" w:hint="default"/>
      </w:rPr>
    </w:lvl>
    <w:lvl w:ilvl="2" w:tplc="BA3AD598">
      <w:start w:val="1"/>
      <w:numFmt w:val="bullet"/>
      <w:lvlText w:val="•"/>
      <w:lvlJc w:val="left"/>
      <w:pPr>
        <w:tabs>
          <w:tab w:val="num" w:pos="1800"/>
        </w:tabs>
        <w:ind w:left="1800" w:hanging="360"/>
      </w:pPr>
      <w:rPr>
        <w:rFonts w:ascii="Arial" w:hAnsi="Arial" w:hint="default"/>
      </w:rPr>
    </w:lvl>
    <w:lvl w:ilvl="3" w:tplc="B0343D6A" w:tentative="1">
      <w:start w:val="1"/>
      <w:numFmt w:val="bullet"/>
      <w:lvlText w:val="•"/>
      <w:lvlJc w:val="left"/>
      <w:pPr>
        <w:tabs>
          <w:tab w:val="num" w:pos="2520"/>
        </w:tabs>
        <w:ind w:left="2520" w:hanging="360"/>
      </w:pPr>
      <w:rPr>
        <w:rFonts w:ascii="Arial" w:hAnsi="Arial" w:hint="default"/>
      </w:rPr>
    </w:lvl>
    <w:lvl w:ilvl="4" w:tplc="96E452A0" w:tentative="1">
      <w:start w:val="1"/>
      <w:numFmt w:val="bullet"/>
      <w:lvlText w:val="•"/>
      <w:lvlJc w:val="left"/>
      <w:pPr>
        <w:tabs>
          <w:tab w:val="num" w:pos="3240"/>
        </w:tabs>
        <w:ind w:left="3240" w:hanging="360"/>
      </w:pPr>
      <w:rPr>
        <w:rFonts w:ascii="Arial" w:hAnsi="Arial" w:hint="default"/>
      </w:rPr>
    </w:lvl>
    <w:lvl w:ilvl="5" w:tplc="54023336" w:tentative="1">
      <w:start w:val="1"/>
      <w:numFmt w:val="bullet"/>
      <w:lvlText w:val="•"/>
      <w:lvlJc w:val="left"/>
      <w:pPr>
        <w:tabs>
          <w:tab w:val="num" w:pos="3960"/>
        </w:tabs>
        <w:ind w:left="3960" w:hanging="360"/>
      </w:pPr>
      <w:rPr>
        <w:rFonts w:ascii="Arial" w:hAnsi="Arial" w:hint="default"/>
      </w:rPr>
    </w:lvl>
    <w:lvl w:ilvl="6" w:tplc="EFA8B2FA" w:tentative="1">
      <w:start w:val="1"/>
      <w:numFmt w:val="bullet"/>
      <w:lvlText w:val="•"/>
      <w:lvlJc w:val="left"/>
      <w:pPr>
        <w:tabs>
          <w:tab w:val="num" w:pos="4680"/>
        </w:tabs>
        <w:ind w:left="4680" w:hanging="360"/>
      </w:pPr>
      <w:rPr>
        <w:rFonts w:ascii="Arial" w:hAnsi="Arial" w:hint="default"/>
      </w:rPr>
    </w:lvl>
    <w:lvl w:ilvl="7" w:tplc="B2CA69DC" w:tentative="1">
      <w:start w:val="1"/>
      <w:numFmt w:val="bullet"/>
      <w:lvlText w:val="•"/>
      <w:lvlJc w:val="left"/>
      <w:pPr>
        <w:tabs>
          <w:tab w:val="num" w:pos="5400"/>
        </w:tabs>
        <w:ind w:left="5400" w:hanging="360"/>
      </w:pPr>
      <w:rPr>
        <w:rFonts w:ascii="Arial" w:hAnsi="Arial" w:hint="default"/>
      </w:rPr>
    </w:lvl>
    <w:lvl w:ilvl="8" w:tplc="BA420C5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1269AC"/>
    <w:multiLevelType w:val="hybridMultilevel"/>
    <w:tmpl w:val="11461FDA"/>
    <w:lvl w:ilvl="0" w:tplc="7B12D0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0"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9D24CB"/>
    <w:multiLevelType w:val="hybridMultilevel"/>
    <w:tmpl w:val="58066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D90E62"/>
    <w:multiLevelType w:val="hybridMultilevel"/>
    <w:tmpl w:val="C70471B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327ABD"/>
    <w:multiLevelType w:val="hybridMultilevel"/>
    <w:tmpl w:val="4D10E6BC"/>
    <w:lvl w:ilvl="0" w:tplc="0F488B9C">
      <w:start w:val="1"/>
      <w:numFmt w:val="decimal"/>
      <w:lvlText w:val="(%1)"/>
      <w:lvlJc w:val="left"/>
      <w:pPr>
        <w:ind w:left="644" w:hanging="360"/>
      </w:pPr>
      <w:rPr>
        <w:rFonts w:hint="eastAsia"/>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650B3035"/>
    <w:multiLevelType w:val="hybridMultilevel"/>
    <w:tmpl w:val="9760D774"/>
    <w:lvl w:ilvl="0" w:tplc="00B6B9F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4" w15:restartNumberingAfterBreak="0">
    <w:nsid w:val="7A4735EE"/>
    <w:multiLevelType w:val="hybridMultilevel"/>
    <w:tmpl w:val="8E98CD04"/>
    <w:lvl w:ilvl="0" w:tplc="8B687D46">
      <w:start w:val="1"/>
      <w:numFmt w:val="decimal"/>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9"/>
  </w:num>
  <w:num w:numId="2">
    <w:abstractNumId w:val="39"/>
  </w:num>
  <w:num w:numId="3">
    <w:abstractNumId w:val="0"/>
  </w:num>
  <w:num w:numId="4">
    <w:abstractNumId w:val="22"/>
  </w:num>
  <w:num w:numId="5">
    <w:abstractNumId w:val="9"/>
  </w:num>
  <w:num w:numId="6">
    <w:abstractNumId w:val="7"/>
  </w:num>
  <w:num w:numId="7">
    <w:abstractNumId w:val="40"/>
  </w:num>
  <w:num w:numId="8">
    <w:abstractNumId w:val="28"/>
  </w:num>
  <w:num w:numId="9">
    <w:abstractNumId w:val="19"/>
  </w:num>
  <w:num w:numId="10">
    <w:abstractNumId w:val="25"/>
  </w:num>
  <w:num w:numId="11">
    <w:abstractNumId w:val="45"/>
  </w:num>
  <w:num w:numId="12">
    <w:abstractNumId w:val="26"/>
  </w:num>
  <w:num w:numId="13">
    <w:abstractNumId w:val="16"/>
  </w:num>
  <w:num w:numId="14">
    <w:abstractNumId w:val="17"/>
  </w:num>
  <w:num w:numId="15">
    <w:abstractNumId w:val="41"/>
  </w:num>
  <w:num w:numId="16">
    <w:abstractNumId w:val="12"/>
  </w:num>
  <w:num w:numId="17">
    <w:abstractNumId w:val="6"/>
  </w:num>
  <w:num w:numId="18">
    <w:abstractNumId w:val="14"/>
  </w:num>
  <w:num w:numId="19">
    <w:abstractNumId w:val="23"/>
  </w:num>
  <w:num w:numId="20">
    <w:abstractNumId w:val="43"/>
  </w:num>
  <w:num w:numId="21">
    <w:abstractNumId w:val="29"/>
  </w:num>
  <w:num w:numId="22">
    <w:abstractNumId w:val="1"/>
  </w:num>
  <w:num w:numId="23">
    <w:abstractNumId w:val="33"/>
  </w:num>
  <w:num w:numId="24">
    <w:abstractNumId w:val="20"/>
  </w:num>
  <w:num w:numId="25">
    <w:abstractNumId w:val="21"/>
  </w:num>
  <w:num w:numId="26">
    <w:abstractNumId w:val="24"/>
  </w:num>
  <w:num w:numId="27">
    <w:abstractNumId w:val="5"/>
  </w:num>
  <w:num w:numId="28">
    <w:abstractNumId w:val="13"/>
  </w:num>
  <w:num w:numId="29">
    <w:abstractNumId w:val="34"/>
  </w:num>
  <w:num w:numId="30">
    <w:abstractNumId w:val="27"/>
  </w:num>
  <w:num w:numId="31">
    <w:abstractNumId w:val="35"/>
  </w:num>
  <w:num w:numId="32">
    <w:abstractNumId w:val="11"/>
  </w:num>
  <w:num w:numId="33">
    <w:abstractNumId w:val="42"/>
  </w:num>
  <w:num w:numId="34">
    <w:abstractNumId w:val="36"/>
  </w:num>
  <w:num w:numId="35">
    <w:abstractNumId w:val="32"/>
  </w:num>
  <w:num w:numId="36">
    <w:abstractNumId w:val="2"/>
  </w:num>
  <w:num w:numId="37">
    <w:abstractNumId w:val="3"/>
  </w:num>
  <w:num w:numId="38">
    <w:abstractNumId w:val="30"/>
  </w:num>
  <w:num w:numId="39">
    <w:abstractNumId w:val="44"/>
  </w:num>
  <w:num w:numId="40">
    <w:abstractNumId w:val="38"/>
  </w:num>
  <w:num w:numId="41">
    <w:abstractNumId w:val="8"/>
  </w:num>
  <w:num w:numId="42">
    <w:abstractNumId w:val="15"/>
  </w:num>
  <w:num w:numId="43">
    <w:abstractNumId w:val="4"/>
  </w:num>
  <w:num w:numId="44">
    <w:abstractNumId w:val="31"/>
  </w:num>
  <w:num w:numId="45">
    <w:abstractNumId w:val="37"/>
  </w:num>
  <w:num w:numId="46">
    <w:abstractNumId w:val="18"/>
  </w:num>
  <w:num w:numId="4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17D07"/>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4C7"/>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115B"/>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B"/>
    <w:rsid w:val="00803AAC"/>
    <w:rsid w:val="00804153"/>
    <w:rsid w:val="00804275"/>
    <w:rsid w:val="00804654"/>
    <w:rsid w:val="008048B6"/>
    <w:rsid w:val="00804C8C"/>
    <w:rsid w:val="00805431"/>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4DD3"/>
    <w:rsid w:val="00825221"/>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0C"/>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065B46-EA3A-48C5-A1CB-36A33CF01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1030</Words>
  <Characters>5871</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yunjung1</cp:lastModifiedBy>
  <cp:revision>16</cp:revision>
  <cp:lastPrinted>2016-05-13T07:55:00Z</cp:lastPrinted>
  <dcterms:created xsi:type="dcterms:W3CDTF">2017-05-05T06:53:00Z</dcterms:created>
  <dcterms:modified xsi:type="dcterms:W3CDTF">2017-05-05T07:05:00Z</dcterms:modified>
</cp:coreProperties>
</file>